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5278" w14:textId="77777777" w:rsidR="00A30EC1" w:rsidRPr="005B610F" w:rsidRDefault="00A30EC1" w:rsidP="005B610F">
      <w:pPr>
        <w:pStyle w:val="Nagwek1"/>
        <w:spacing w:line="360" w:lineRule="auto"/>
        <w:rPr>
          <w:rFonts w:ascii="Open Sans" w:hAnsi="Open Sans" w:cs="Open Sans"/>
          <w:szCs w:val="28"/>
        </w:rPr>
      </w:pPr>
      <w:r w:rsidRPr="005B610F">
        <w:rPr>
          <w:rFonts w:ascii="Open Sans" w:hAnsi="Open Sans" w:cs="Open Sans"/>
          <w:szCs w:val="28"/>
        </w:rPr>
        <w:t xml:space="preserve">Regulamin monitoringu usług rozwojowych </w:t>
      </w:r>
      <w:r w:rsidRPr="005B610F">
        <w:rPr>
          <w:rFonts w:ascii="Open Sans" w:hAnsi="Open Sans" w:cs="Open Sans"/>
          <w:szCs w:val="28"/>
        </w:rPr>
        <w:br/>
        <w:t>w ramach projektu „STACJA: NOWE OTWARCIE”</w:t>
      </w:r>
    </w:p>
    <w:p w14:paraId="1D8250EB" w14:textId="4DF61135" w:rsidR="00A30EC1" w:rsidRPr="005B610F" w:rsidRDefault="00A30EC1" w:rsidP="005B610F">
      <w:pPr>
        <w:spacing w:line="360" w:lineRule="auto"/>
        <w:jc w:val="center"/>
        <w:rPr>
          <w:rFonts w:ascii="Open Sans" w:hAnsi="Open Sans" w:cs="Open Sans"/>
          <w:b/>
          <w:sz w:val="28"/>
          <w:szCs w:val="28"/>
        </w:rPr>
      </w:pPr>
      <w:r w:rsidRPr="005B610F">
        <w:rPr>
          <w:rFonts w:ascii="Open Sans" w:hAnsi="Open Sans" w:cs="Open Sans"/>
          <w:b/>
          <w:sz w:val="28"/>
          <w:szCs w:val="28"/>
        </w:rPr>
        <w:t>nr: FERS.01.03-IP.09-0121/23</w:t>
      </w:r>
      <w:r w:rsidR="005B610F">
        <w:rPr>
          <w:rFonts w:ascii="Open Sans" w:hAnsi="Open Sans" w:cs="Open Sans"/>
          <w:b/>
          <w:sz w:val="28"/>
          <w:szCs w:val="28"/>
        </w:rPr>
        <w:t xml:space="preserve"> </w:t>
      </w:r>
      <w:r w:rsidRPr="005B610F">
        <w:rPr>
          <w:rFonts w:ascii="Open Sans" w:hAnsi="Open Sans" w:cs="Open Sans"/>
          <w:szCs w:val="24"/>
        </w:rPr>
        <w:t xml:space="preserve">realizowanego w ramach Programu Fundusze Europejskie dla Rozwoju Społecznego </w:t>
      </w:r>
      <w:r w:rsidR="005B610F">
        <w:rPr>
          <w:rFonts w:ascii="Open Sans" w:hAnsi="Open Sans" w:cs="Open Sans"/>
          <w:szCs w:val="24"/>
        </w:rPr>
        <w:t>2</w:t>
      </w:r>
      <w:r w:rsidRPr="005B610F">
        <w:rPr>
          <w:rFonts w:ascii="Open Sans" w:hAnsi="Open Sans" w:cs="Open Sans"/>
          <w:szCs w:val="24"/>
        </w:rPr>
        <w:t>021-2027 Działanie 01.03 Kadry nowoczesnej gospodarki</w:t>
      </w:r>
      <w:r w:rsidR="005B610F">
        <w:rPr>
          <w:rFonts w:ascii="Open Sans" w:hAnsi="Open Sans" w:cs="Open Sans"/>
          <w:b/>
          <w:sz w:val="28"/>
          <w:szCs w:val="28"/>
        </w:rPr>
        <w:t xml:space="preserve"> </w:t>
      </w:r>
      <w:r w:rsidRPr="005B610F">
        <w:rPr>
          <w:rFonts w:ascii="Open Sans" w:hAnsi="Open Sans" w:cs="Open Sans"/>
          <w:szCs w:val="24"/>
        </w:rPr>
        <w:t>przez Operatora: QS Zurich Sp. z o.o. w partnerstwie z Puławskim Centrum Przedsiębiorczości</w:t>
      </w:r>
      <w:r w:rsidR="005B610F">
        <w:rPr>
          <w:rFonts w:ascii="Open Sans" w:hAnsi="Open Sans" w:cs="Open Sans"/>
          <w:szCs w:val="24"/>
        </w:rPr>
        <w:t>.</w:t>
      </w:r>
    </w:p>
    <w:p w14:paraId="2B8687EA" w14:textId="77777777" w:rsidR="00A30EC1" w:rsidRPr="005B610F" w:rsidRDefault="00A30EC1" w:rsidP="005B610F">
      <w:pPr>
        <w:spacing w:line="360" w:lineRule="auto"/>
        <w:rPr>
          <w:rFonts w:ascii="Open Sans" w:hAnsi="Open Sans" w:cs="Open Sans"/>
          <w:szCs w:val="24"/>
        </w:rPr>
      </w:pPr>
    </w:p>
    <w:p w14:paraId="6318F2B3" w14:textId="77777777" w:rsidR="00A30EC1" w:rsidRPr="005B610F" w:rsidRDefault="00A30EC1" w:rsidP="005B610F">
      <w:pPr>
        <w:pStyle w:val="Nagwek2"/>
        <w:spacing w:line="360" w:lineRule="auto"/>
        <w:jc w:val="left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§ 1 Zasady ogólne</w:t>
      </w:r>
    </w:p>
    <w:p w14:paraId="4F239CEF" w14:textId="77777777" w:rsidR="00A30EC1" w:rsidRPr="005B610F" w:rsidRDefault="00A30EC1" w:rsidP="005B610F">
      <w:pPr>
        <w:pStyle w:val="Akapitzlist"/>
        <w:numPr>
          <w:ilvl w:val="0"/>
          <w:numId w:val="3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Pojęcia użyte w niniejszym Regulaminie mają znaczenie nadane w Regulaminie rekrutacji i uczestnictwa w projekcie „Stacja: Nowe Otwarcie”.</w:t>
      </w:r>
    </w:p>
    <w:p w14:paraId="244869D9" w14:textId="77777777" w:rsidR="00A30EC1" w:rsidRPr="005B610F" w:rsidRDefault="00A30EC1" w:rsidP="005B610F">
      <w:pPr>
        <w:pStyle w:val="Akapitzlist"/>
        <w:numPr>
          <w:ilvl w:val="0"/>
          <w:numId w:val="3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Do przeprowadzenia monitoringu uprawnieni są pracownicy Operatora: QS Zurich Sp. z o.o. i pracownicy Partnera: Puławskie Centrum Przedsiębiorczości, a także pracownicy Instytucji Pośredniczącej/Instytucji Zarządzającej i innej instytucji uprawnionej do przeprowadzania kontroli na podstawie odrębnych przepisów lub upoważnienia wyżej wymienionych instytucji. </w:t>
      </w:r>
    </w:p>
    <w:p w14:paraId="09116853" w14:textId="77777777" w:rsidR="00A30EC1" w:rsidRPr="005B610F" w:rsidRDefault="00A30EC1" w:rsidP="005B610F">
      <w:pPr>
        <w:pStyle w:val="Akapitzlist"/>
        <w:numPr>
          <w:ilvl w:val="0"/>
          <w:numId w:val="3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Operator/Partner zobowiązany jest do stworzenia planu kontroli oraz prowadzenia ich rejestru. </w:t>
      </w:r>
    </w:p>
    <w:p w14:paraId="7BDBFE5B" w14:textId="77777777" w:rsidR="00A30EC1" w:rsidRPr="005B610F" w:rsidRDefault="00A30EC1" w:rsidP="005B610F">
      <w:pPr>
        <w:pStyle w:val="Akapitzlist"/>
        <w:numPr>
          <w:ilvl w:val="0"/>
          <w:numId w:val="3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Operator/Partner zobowiązany jest do udostępniania IP danych dotyczących realizacji obowiązków w zakresie przeprowadzonych monitoringów, w tym co najmniej:</w:t>
      </w:r>
    </w:p>
    <w:p w14:paraId="41B9F0D4" w14:textId="77777777" w:rsidR="00A30EC1" w:rsidRPr="005B610F" w:rsidRDefault="00A30EC1" w:rsidP="005B610F">
      <w:pPr>
        <w:pStyle w:val="Akapitzlist"/>
        <w:numPr>
          <w:ilvl w:val="1"/>
          <w:numId w:val="3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liczby przeprowadzonych wizyt monitoringowych w miejscu realizacji usług rozwojowych ze wskazaniem danych, gdzie przedmiotowe wizyty zostały przeprowadzone;</w:t>
      </w:r>
    </w:p>
    <w:p w14:paraId="1558D3F4" w14:textId="77777777" w:rsidR="00A30EC1" w:rsidRPr="005B610F" w:rsidRDefault="00A30EC1" w:rsidP="005B610F">
      <w:pPr>
        <w:pStyle w:val="Akapitzlist"/>
        <w:numPr>
          <w:ilvl w:val="1"/>
          <w:numId w:val="3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lastRenderedPageBreak/>
        <w:t>liczby przeprowadzonych zdalnych wizyt monitoringowych usług rozwojowych;</w:t>
      </w:r>
    </w:p>
    <w:p w14:paraId="0BC7F071" w14:textId="77777777" w:rsidR="00A30EC1" w:rsidRPr="005B610F" w:rsidRDefault="00A30EC1" w:rsidP="005B610F">
      <w:pPr>
        <w:pStyle w:val="Akapitzlist"/>
        <w:numPr>
          <w:ilvl w:val="1"/>
          <w:numId w:val="3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informacji dotyczących stwierdzenia nieprawidłowości.</w:t>
      </w:r>
    </w:p>
    <w:p w14:paraId="105FC664" w14:textId="77777777" w:rsidR="00A30EC1" w:rsidRPr="005B610F" w:rsidRDefault="00A30EC1" w:rsidP="005B610F">
      <w:pPr>
        <w:pStyle w:val="Akapitzlist"/>
        <w:numPr>
          <w:ilvl w:val="0"/>
          <w:numId w:val="3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Monitoringi mogą być przeprowadzane w następujących trybach:</w:t>
      </w:r>
    </w:p>
    <w:p w14:paraId="454AABAA" w14:textId="77777777" w:rsidR="00A30EC1" w:rsidRPr="005B610F" w:rsidRDefault="00A30EC1" w:rsidP="005B610F">
      <w:pPr>
        <w:pStyle w:val="Akapitzlist"/>
        <w:numPr>
          <w:ilvl w:val="1"/>
          <w:numId w:val="3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planowym;</w:t>
      </w:r>
    </w:p>
    <w:p w14:paraId="5CA88195" w14:textId="77777777" w:rsidR="00A30EC1" w:rsidRPr="005B610F" w:rsidRDefault="00A30EC1" w:rsidP="005B610F">
      <w:pPr>
        <w:pStyle w:val="Akapitzlist"/>
        <w:numPr>
          <w:ilvl w:val="1"/>
          <w:numId w:val="3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doraźnym.</w:t>
      </w:r>
    </w:p>
    <w:p w14:paraId="47800F63" w14:textId="77777777" w:rsidR="00A30EC1" w:rsidRPr="005B610F" w:rsidRDefault="00A30EC1" w:rsidP="005B610F">
      <w:pPr>
        <w:spacing w:line="360" w:lineRule="auto"/>
        <w:rPr>
          <w:rFonts w:ascii="Open Sans" w:hAnsi="Open Sans" w:cs="Open Sans"/>
          <w:szCs w:val="24"/>
        </w:rPr>
      </w:pPr>
    </w:p>
    <w:p w14:paraId="16DB3623" w14:textId="77777777" w:rsidR="00A30EC1" w:rsidRPr="005B610F" w:rsidRDefault="00A30EC1" w:rsidP="005B610F">
      <w:pPr>
        <w:pStyle w:val="Nagwek2"/>
        <w:spacing w:line="360" w:lineRule="auto"/>
        <w:jc w:val="left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§ 2 Zasady prowadzenia monitoringu</w:t>
      </w:r>
    </w:p>
    <w:p w14:paraId="72B8A924" w14:textId="77777777" w:rsidR="00A30EC1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Przedsiębiorstwo po zawarciu Umowy wsparcia może zostać objęte monitoringiem realizacji usług rozwojowych. </w:t>
      </w:r>
    </w:p>
    <w:p w14:paraId="313DAE69" w14:textId="77777777" w:rsidR="00A30EC1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Monitoring w odniesieniu do Uczestników projektu prowadzone są:</w:t>
      </w:r>
    </w:p>
    <w:p w14:paraId="2658AE04" w14:textId="77777777" w:rsidR="00A30EC1" w:rsidRPr="005B610F" w:rsidRDefault="00A30EC1" w:rsidP="005B610F">
      <w:pPr>
        <w:pStyle w:val="Akapitzlist"/>
        <w:numPr>
          <w:ilvl w:val="1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w miejscu realizacji usługi rozwojowej;</w:t>
      </w:r>
    </w:p>
    <w:p w14:paraId="331887F3" w14:textId="77777777" w:rsidR="00A30EC1" w:rsidRPr="005B610F" w:rsidRDefault="00A30EC1" w:rsidP="005B610F">
      <w:pPr>
        <w:pStyle w:val="Akapitzlist"/>
        <w:numPr>
          <w:ilvl w:val="1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zdalnie.</w:t>
      </w:r>
    </w:p>
    <w:p w14:paraId="4F244D78" w14:textId="77777777" w:rsidR="00A30EC1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Przedsiębiorstwo zobowiązuje się poddać monitoringowi realizacji usług rozwojowych dokonywanemu przez Operatora/Partnera, IP oraz inne uprawnione podmioty w zakresie prawidłowości realizacji przedmiotowej Umowy wsparcia. </w:t>
      </w:r>
    </w:p>
    <w:p w14:paraId="3EBCC66A" w14:textId="77777777" w:rsidR="00A30EC1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Wizyty monitoringowe są niezapowiedziane i odbywają się w godzinach i w miejscu realizacji Usługi rozwojowej.</w:t>
      </w:r>
    </w:p>
    <w:p w14:paraId="6B14B7D5" w14:textId="77777777" w:rsidR="00A30EC1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Celem wizyty monitoringowej jest sprawdzenie faktycznego dostarczenia Usługi, jej zgodności ze standardami określonymi m.in. w Karcie usługi rozwojowej oraz potwierdzenie kwalifikowalności kosztów Usługi i uczestnika w projekcie, a w szczególności weryfikacja:</w:t>
      </w:r>
    </w:p>
    <w:p w14:paraId="14DD52BA" w14:textId="77777777" w:rsidR="00A30EC1" w:rsidRPr="005B610F" w:rsidRDefault="00A30EC1" w:rsidP="005B610F">
      <w:pPr>
        <w:pStyle w:val="Akapitzlist"/>
        <w:numPr>
          <w:ilvl w:val="0"/>
          <w:numId w:val="20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zgodności przebiegu realizacji usługi szkoleniowej z harmonogramem realizacji usługi; </w:t>
      </w:r>
    </w:p>
    <w:p w14:paraId="09BB763A" w14:textId="77777777" w:rsidR="00A30EC1" w:rsidRPr="005B610F" w:rsidRDefault="00A30EC1" w:rsidP="005B610F">
      <w:pPr>
        <w:pStyle w:val="Akapitzlist"/>
        <w:numPr>
          <w:ilvl w:val="0"/>
          <w:numId w:val="20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zgodności tematyki poruszanej w trakcie usługi szkoleniowej z Ramowym programem usługi wskazanym w Karcie;</w:t>
      </w:r>
    </w:p>
    <w:p w14:paraId="77B33B93" w14:textId="77777777" w:rsidR="00A30EC1" w:rsidRPr="005B610F" w:rsidRDefault="00A30EC1" w:rsidP="005B610F">
      <w:pPr>
        <w:pStyle w:val="Akapitzlist"/>
        <w:numPr>
          <w:ilvl w:val="0"/>
          <w:numId w:val="20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lastRenderedPageBreak/>
        <w:t>zgodności danych osoby prowadzącej usługę z danymi wskazanymi w Karcie;</w:t>
      </w:r>
    </w:p>
    <w:p w14:paraId="3201728F" w14:textId="77777777" w:rsidR="00A30EC1" w:rsidRPr="005B610F" w:rsidRDefault="00A30EC1" w:rsidP="005B610F">
      <w:pPr>
        <w:pStyle w:val="Akapitzlist"/>
        <w:numPr>
          <w:ilvl w:val="0"/>
          <w:numId w:val="20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udziału Uczestników projektu w usłudze rozwojowej z wykorzystaniem nadanego nr ID wsparcia.</w:t>
      </w:r>
    </w:p>
    <w:p w14:paraId="7C94B109" w14:textId="77777777" w:rsidR="00A30EC1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Minimalna liczba godzin usługi rozwojowej objętej wizytą monitoringową wynosi co najmniej 2 moduły (do 4 godzin zegarowych łącznie). </w:t>
      </w:r>
    </w:p>
    <w:p w14:paraId="6F58A558" w14:textId="77777777" w:rsidR="00A30EC1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Próba usług rozwojowych do monitoringu wybierana jest przez Operatora na podstawie raportu z Jasper spośród Przedsiębiorców, którzy zgłosili uczestnictwo w usługach rozwojowych oraz Metodologii doboru próby do monitoringu usług rozwojowych w ramach projektów dofinansowanych w naborze „Wsparcie firm w okresowych trudnościach”</w:t>
      </w:r>
      <w:r w:rsidRPr="005B610F" w:rsidDel="00F61CD9">
        <w:rPr>
          <w:rFonts w:ascii="Open Sans" w:hAnsi="Open Sans" w:cs="Open Sans"/>
          <w:szCs w:val="24"/>
        </w:rPr>
        <w:t xml:space="preserve"> </w:t>
      </w:r>
      <w:r w:rsidRPr="005B610F">
        <w:rPr>
          <w:rFonts w:ascii="Open Sans" w:hAnsi="Open Sans" w:cs="Open Sans"/>
          <w:szCs w:val="24"/>
        </w:rPr>
        <w:t xml:space="preserve">(nr naboru FERS.01.03-IP.09-007/23) przygotowanej przez PARP. </w:t>
      </w:r>
    </w:p>
    <w:p w14:paraId="36CC2392" w14:textId="77777777" w:rsidR="00A30EC1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Wizyty monitoringowe nie dotyczą usług doradczych. W przypadku usług doradczych potwierdzenie wykonania usługi odbywa się na podstawie weryfikacji opracowania/ raportu/ innych dokumentów powstałych w wyniku usługi doradczej. Dokumenty te są weryfikowane na etapie refundacji kosztów danej usługi.</w:t>
      </w:r>
    </w:p>
    <w:p w14:paraId="507D6298" w14:textId="77777777" w:rsidR="00A30EC1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Zespół monitoringowy składa się z co najmniej 2 osób. </w:t>
      </w:r>
    </w:p>
    <w:p w14:paraId="753C30CA" w14:textId="77777777" w:rsidR="00A30EC1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Do zadań Zespołu monitoringowego będzie należało:</w:t>
      </w:r>
    </w:p>
    <w:p w14:paraId="2128B1D7" w14:textId="77777777" w:rsidR="00A30EC1" w:rsidRPr="005B610F" w:rsidRDefault="00A30EC1" w:rsidP="005B610F">
      <w:pPr>
        <w:pStyle w:val="Akapitzlist"/>
        <w:numPr>
          <w:ilvl w:val="0"/>
          <w:numId w:val="22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wszczęcie oraz przeprowadzenie czynności związanych z wizytą monitoringową; </w:t>
      </w:r>
    </w:p>
    <w:p w14:paraId="313B53B5" w14:textId="77777777" w:rsidR="00A30EC1" w:rsidRPr="005B610F" w:rsidRDefault="00A30EC1" w:rsidP="005B610F">
      <w:pPr>
        <w:pStyle w:val="Akapitzlist"/>
        <w:numPr>
          <w:ilvl w:val="0"/>
          <w:numId w:val="22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przygotowanie merytoryczne do realizacji zadania przed wizytą monitoringową oraz potwierdzenie realizacji usługi szkoleniowej w czasie, miejscu i zakresie określonym</w:t>
      </w:r>
      <w:r w:rsidRPr="005B610F">
        <w:rPr>
          <w:rFonts w:ascii="Open Sans" w:hAnsi="Open Sans" w:cs="Open Sans"/>
          <w:szCs w:val="24"/>
        </w:rPr>
        <w:br/>
        <w:t>w Karcie, publikowanej w Bazie Usług Rozwojowych;</w:t>
      </w:r>
    </w:p>
    <w:p w14:paraId="4C070EFC" w14:textId="77777777" w:rsidR="00A30EC1" w:rsidRPr="005B610F" w:rsidRDefault="00A30EC1" w:rsidP="005B610F">
      <w:pPr>
        <w:pStyle w:val="Akapitzlist"/>
        <w:numPr>
          <w:ilvl w:val="0"/>
          <w:numId w:val="22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weryfikacja obecności Uczestników Projektu na monitorowanej usłudze szkoleniowej; </w:t>
      </w:r>
    </w:p>
    <w:p w14:paraId="45D6B748" w14:textId="77777777" w:rsidR="00A30EC1" w:rsidRPr="005B610F" w:rsidRDefault="00A30EC1" w:rsidP="005B610F">
      <w:pPr>
        <w:pStyle w:val="Akapitzlist"/>
        <w:numPr>
          <w:ilvl w:val="0"/>
          <w:numId w:val="22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sprawdzenie jakości usług, w tym: </w:t>
      </w:r>
    </w:p>
    <w:p w14:paraId="594227E9" w14:textId="77777777" w:rsidR="00A30EC1" w:rsidRPr="005B610F" w:rsidRDefault="00A30EC1" w:rsidP="005B610F">
      <w:pPr>
        <w:pStyle w:val="Akapitzlist"/>
        <w:numPr>
          <w:ilvl w:val="0"/>
          <w:numId w:val="21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lastRenderedPageBreak/>
        <w:t xml:space="preserve">poziom przygotowania usługi szkoleniowej; </w:t>
      </w:r>
    </w:p>
    <w:p w14:paraId="5A01FEEB" w14:textId="77777777" w:rsidR="00A30EC1" w:rsidRPr="005B610F" w:rsidRDefault="00A30EC1" w:rsidP="005B610F">
      <w:pPr>
        <w:pStyle w:val="Akapitzlist"/>
        <w:numPr>
          <w:ilvl w:val="0"/>
          <w:numId w:val="21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dostarczenie przez Dostawcę materiałów szkoleniowych uczestnikom usługi (przewidzianych Załącznikiem nr 2 do Regulaminu BUR);</w:t>
      </w:r>
    </w:p>
    <w:p w14:paraId="199D5F15" w14:textId="77777777" w:rsidR="00A30EC1" w:rsidRPr="005B610F" w:rsidRDefault="00A30EC1" w:rsidP="005B610F">
      <w:pPr>
        <w:pStyle w:val="Akapitzlist"/>
        <w:numPr>
          <w:ilvl w:val="0"/>
          <w:numId w:val="21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zgodność treści usługi szkoleniowej z zapisami zatwierdzonej Karty;</w:t>
      </w:r>
    </w:p>
    <w:p w14:paraId="455556B6" w14:textId="77777777" w:rsidR="00A30EC1" w:rsidRPr="005B610F" w:rsidRDefault="00A30EC1" w:rsidP="005B610F">
      <w:pPr>
        <w:pStyle w:val="Akapitzlist"/>
        <w:numPr>
          <w:ilvl w:val="0"/>
          <w:numId w:val="21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obecność trenera/ów o odpowiednich kwalifikacjach wskazanych </w:t>
      </w:r>
      <w:r w:rsidRPr="005B610F">
        <w:rPr>
          <w:rFonts w:ascii="Open Sans" w:hAnsi="Open Sans" w:cs="Open Sans"/>
          <w:szCs w:val="24"/>
        </w:rPr>
        <w:br/>
        <w:t>w zaakceptowanej Karcie;</w:t>
      </w:r>
    </w:p>
    <w:p w14:paraId="75EC52CA" w14:textId="77777777" w:rsidR="00A30EC1" w:rsidRPr="005B610F" w:rsidRDefault="00A30EC1" w:rsidP="005B610F">
      <w:pPr>
        <w:pStyle w:val="Akapitzlist"/>
        <w:numPr>
          <w:ilvl w:val="0"/>
          <w:numId w:val="21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w przypadku usług szkoleniowych, w których udział bierze osoba ze szczególnymi potrzebami w rozumieniu art. 2 pkt 3 ustawy z dnia 19 lipca 2019 r. o zapewnianiu dostępności osobom ze szczególnymi potrzebami (Dz.U. z 2022 r. poz. 2240), sprawdzeniu podlega, czy materiały dydaktycznych zostały dostosowane do potrzeb tej osoby oraz czy wypełniono wymagania w zakresie dostępności usługi,</w:t>
      </w:r>
      <w:r w:rsidRPr="005B610F">
        <w:rPr>
          <w:rFonts w:ascii="Open Sans" w:hAnsi="Open Sans" w:cs="Open Sans"/>
          <w:szCs w:val="24"/>
        </w:rPr>
        <w:br/>
        <w:t>o których mowa w art. 6 pkt 1 i 2 oraz pkt 3 lit. a, b i d tej ustawy.</w:t>
      </w:r>
    </w:p>
    <w:p w14:paraId="063104F3" w14:textId="77777777" w:rsidR="00A30EC1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Zespół monitoringowy przeprowadzający wizytę monitoringową zobowiązany jest do potwierdzenia tożsamości Uczestnika projektu.</w:t>
      </w:r>
    </w:p>
    <w:p w14:paraId="2197919B" w14:textId="77777777" w:rsidR="00A30EC1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W uzasadnionych przypadkach wizyty monitoringowe mogą być przeprowadzane przez IP.</w:t>
      </w:r>
    </w:p>
    <w:p w14:paraId="4EB9AB0B" w14:textId="77777777" w:rsidR="00A30EC1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Odmowa poddania się monitoringowi jest równoznaczna z niedotrzymaniem warunków Umowy wsparcia i skutkować może odstąpieniem od refundacji kosztów usługi rozwojowej. </w:t>
      </w:r>
    </w:p>
    <w:p w14:paraId="43E3A6A1" w14:textId="77777777" w:rsidR="00A30EC1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Po zakończeniu monitoringu, w terminie nie dłuższym niż 14 dni kalendarzowych od dnia jego zakończenia, sporządzany jest i przekazywany do MŚP Raport z wizyty monitoringowej.</w:t>
      </w:r>
    </w:p>
    <w:p w14:paraId="0F7C3BF8" w14:textId="77777777" w:rsidR="00A30EC1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Raport z wizyty monitoringowej (załącznik nr 1) powinien w szczególności zawierać następujące elementy: </w:t>
      </w:r>
    </w:p>
    <w:p w14:paraId="2C154587" w14:textId="77777777" w:rsidR="00A30EC1" w:rsidRPr="005B610F" w:rsidRDefault="00A30EC1" w:rsidP="005B610F">
      <w:pPr>
        <w:pStyle w:val="Akapitzlist"/>
        <w:numPr>
          <w:ilvl w:val="1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lastRenderedPageBreak/>
        <w:t xml:space="preserve">datę i godzinę/godziny rozpoczęcia i zakończenia wizyty monitoringowej; </w:t>
      </w:r>
    </w:p>
    <w:p w14:paraId="47191ADE" w14:textId="77777777" w:rsidR="00A30EC1" w:rsidRPr="005B610F" w:rsidRDefault="00A30EC1" w:rsidP="005B610F">
      <w:pPr>
        <w:pStyle w:val="Akapitzlist"/>
        <w:numPr>
          <w:ilvl w:val="1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imiona i nazwiska osób przeprowadzających wizytę monitoringową; </w:t>
      </w:r>
    </w:p>
    <w:p w14:paraId="292893C9" w14:textId="77777777" w:rsidR="00A30EC1" w:rsidRPr="005B610F" w:rsidRDefault="00A30EC1" w:rsidP="005B610F">
      <w:pPr>
        <w:pStyle w:val="Akapitzlist"/>
        <w:numPr>
          <w:ilvl w:val="1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nazwę i adres Przedsiębiorcy w okresowych trudnościach; </w:t>
      </w:r>
    </w:p>
    <w:p w14:paraId="14BA5765" w14:textId="77777777" w:rsidR="00A30EC1" w:rsidRPr="005B610F" w:rsidRDefault="00A30EC1" w:rsidP="005B610F">
      <w:pPr>
        <w:pStyle w:val="Akapitzlist"/>
        <w:numPr>
          <w:ilvl w:val="1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numer umowy udzielenia wsparcia; </w:t>
      </w:r>
    </w:p>
    <w:p w14:paraId="4BB77B35" w14:textId="77777777" w:rsidR="00A30EC1" w:rsidRPr="005B610F" w:rsidRDefault="00A30EC1" w:rsidP="005B610F">
      <w:pPr>
        <w:pStyle w:val="Akapitzlist"/>
        <w:numPr>
          <w:ilvl w:val="1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numer ID wsparcia; </w:t>
      </w:r>
    </w:p>
    <w:p w14:paraId="58FE7EF6" w14:textId="77777777" w:rsidR="00A30EC1" w:rsidRPr="005B610F" w:rsidRDefault="00A30EC1" w:rsidP="005B610F">
      <w:pPr>
        <w:pStyle w:val="Akapitzlist"/>
        <w:numPr>
          <w:ilvl w:val="1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imię i nazwisko uczestnika/ów usługi rozwojowej; </w:t>
      </w:r>
    </w:p>
    <w:p w14:paraId="365993FC" w14:textId="77777777" w:rsidR="00A30EC1" w:rsidRPr="005B610F" w:rsidRDefault="00A30EC1" w:rsidP="005B610F">
      <w:pPr>
        <w:pStyle w:val="Akapitzlist"/>
        <w:numPr>
          <w:ilvl w:val="1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nazwę i adres Dostawcy Usługi; </w:t>
      </w:r>
    </w:p>
    <w:p w14:paraId="258F049D" w14:textId="77777777" w:rsidR="00A30EC1" w:rsidRPr="005B610F" w:rsidRDefault="00A30EC1" w:rsidP="005B610F">
      <w:pPr>
        <w:pStyle w:val="Akapitzlist"/>
        <w:numPr>
          <w:ilvl w:val="1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dane osoby prowadzącej usługę rozwojową; </w:t>
      </w:r>
    </w:p>
    <w:p w14:paraId="7AB0BB3F" w14:textId="77777777" w:rsidR="00A30EC1" w:rsidRPr="005B610F" w:rsidRDefault="00A30EC1" w:rsidP="005B610F">
      <w:pPr>
        <w:pStyle w:val="Akapitzlist"/>
        <w:numPr>
          <w:ilvl w:val="1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platformę /rodzaj komunikatora (dotyczy usługi zdalnej); </w:t>
      </w:r>
    </w:p>
    <w:p w14:paraId="690C5346" w14:textId="77777777" w:rsidR="00A30EC1" w:rsidRPr="005B610F" w:rsidRDefault="00A30EC1" w:rsidP="005B610F">
      <w:pPr>
        <w:pStyle w:val="Akapitzlist"/>
        <w:numPr>
          <w:ilvl w:val="1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podstawowe dane dotyczące usługi: tytuł usługi rozwojowej, numer usługi rozwojowej; </w:t>
      </w:r>
    </w:p>
    <w:p w14:paraId="18E39A25" w14:textId="77777777" w:rsidR="00A30EC1" w:rsidRPr="005B610F" w:rsidRDefault="00A30EC1" w:rsidP="005B610F">
      <w:pPr>
        <w:pStyle w:val="Akapitzlist"/>
        <w:numPr>
          <w:ilvl w:val="1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uwagi/uchybienia dotyczące realizacji usługi w stosunku do zapisów karty usługi w BUR (jeśli dotyczy); </w:t>
      </w:r>
    </w:p>
    <w:p w14:paraId="6E9D3EA0" w14:textId="77777777" w:rsidR="00A30EC1" w:rsidRPr="005B610F" w:rsidRDefault="00A30EC1" w:rsidP="005B610F">
      <w:pPr>
        <w:pStyle w:val="Akapitzlist"/>
        <w:numPr>
          <w:ilvl w:val="1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 xml:space="preserve">opis kontrolowanych procesów, w tym: </w:t>
      </w:r>
    </w:p>
    <w:p w14:paraId="21788161" w14:textId="77777777" w:rsidR="00A30EC1" w:rsidRPr="005B610F" w:rsidRDefault="00A30EC1" w:rsidP="005B610F">
      <w:pPr>
        <w:pStyle w:val="Akapitzlist"/>
        <w:numPr>
          <w:ilvl w:val="2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czy usługa rozwojowa została zaakceptowana przez Operatora?</w:t>
      </w:r>
    </w:p>
    <w:p w14:paraId="27082674" w14:textId="77777777" w:rsidR="00A30EC1" w:rsidRPr="005B610F" w:rsidRDefault="00A30EC1" w:rsidP="005B610F">
      <w:pPr>
        <w:pStyle w:val="Akapitzlist"/>
        <w:numPr>
          <w:ilvl w:val="2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color w:val="000000"/>
          <w:szCs w:val="24"/>
        </w:rPr>
        <w:t xml:space="preserve">czy usługa rozwojowa odbywa się w terminie i jest zgodna ze standardami określonymi w Karcie Usługi? </w:t>
      </w:r>
    </w:p>
    <w:p w14:paraId="7EB7FD2A" w14:textId="77777777" w:rsidR="00A30EC1" w:rsidRPr="005B610F" w:rsidRDefault="00A30EC1" w:rsidP="005B610F">
      <w:pPr>
        <w:pStyle w:val="Akapitzlist"/>
        <w:numPr>
          <w:ilvl w:val="2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color w:val="000000"/>
          <w:szCs w:val="24"/>
        </w:rPr>
        <w:t xml:space="preserve">czy osoba/osoby zgłoszone do udziału są obecne na usłudze rozwojowej? </w:t>
      </w:r>
    </w:p>
    <w:p w14:paraId="737829F8" w14:textId="77777777" w:rsidR="00A30EC1" w:rsidRPr="005B610F" w:rsidRDefault="00A30EC1" w:rsidP="005B610F">
      <w:pPr>
        <w:pStyle w:val="Akapitzlist"/>
        <w:numPr>
          <w:ilvl w:val="2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color w:val="000000"/>
          <w:szCs w:val="24"/>
        </w:rPr>
        <w:t xml:space="preserve">czy harmonogram jest zgodny z Kartą Usługi w trakcie przeprowadzenia monitoringu? </w:t>
      </w:r>
    </w:p>
    <w:p w14:paraId="63EEF6B8" w14:textId="77777777" w:rsidR="00A30EC1" w:rsidRPr="005B610F" w:rsidRDefault="00A30EC1" w:rsidP="005B610F">
      <w:pPr>
        <w:pStyle w:val="Akapitzlist"/>
        <w:numPr>
          <w:ilvl w:val="2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color w:val="000000"/>
          <w:szCs w:val="24"/>
        </w:rPr>
        <w:t>czy uczestnik projektu wie, że bierze udział w projekcie dofinansowanym z EFS?</w:t>
      </w:r>
    </w:p>
    <w:p w14:paraId="617BD2C6" w14:textId="77777777" w:rsidR="00A30EC1" w:rsidRPr="005B610F" w:rsidRDefault="00A30EC1" w:rsidP="005B610F">
      <w:pPr>
        <w:pStyle w:val="Akapitzlist"/>
        <w:numPr>
          <w:ilvl w:val="2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color w:val="000000"/>
          <w:szCs w:val="24"/>
        </w:rPr>
        <w:t xml:space="preserve">czy zapewniono materiały dla uczestników usługi? (jeśli dotyczy) </w:t>
      </w:r>
    </w:p>
    <w:p w14:paraId="6651DF47" w14:textId="77777777" w:rsidR="00A30EC1" w:rsidRPr="005B610F" w:rsidRDefault="00A30EC1" w:rsidP="005B610F">
      <w:pPr>
        <w:pStyle w:val="Akapitzlist"/>
        <w:numPr>
          <w:ilvl w:val="2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color w:val="000000"/>
          <w:szCs w:val="24"/>
        </w:rPr>
        <w:t xml:space="preserve">jak uczestnicy projektu oceniają organizację wizytowanej formy wsparcia (lokalizacja, warunki techniczne)? (dotyczy wizytacji usługi rozwojowej realizowanej w formie stacjonarnej). </w:t>
      </w:r>
    </w:p>
    <w:p w14:paraId="6DEF8F77" w14:textId="18AE54D0" w:rsidR="00A30EC1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lastRenderedPageBreak/>
        <w:t xml:space="preserve">Przedsiębiorca może w terminie 7 dni kalendarzowych od dnia otrzymania Raportu z wizyty monitoringowej odnieść się na piśmie do wyników oraz ewentualnie </w:t>
      </w:r>
      <w:r w:rsidR="005B610F" w:rsidRPr="005B610F">
        <w:rPr>
          <w:rFonts w:ascii="Open Sans" w:hAnsi="Open Sans" w:cs="Open Sans"/>
          <w:szCs w:val="24"/>
        </w:rPr>
        <w:t>zaleceń –</w:t>
      </w:r>
      <w:r w:rsidRPr="005B610F">
        <w:rPr>
          <w:rFonts w:ascii="Open Sans" w:hAnsi="Open Sans" w:cs="Open Sans"/>
          <w:szCs w:val="24"/>
        </w:rPr>
        <w:t xml:space="preserve"> odniesienie to powinno zawierać uzasadnienie i ewentualną dokumentację (jeśli istnieje) do przedstawionych uwag co do ustaleń Zespołu monitoringowego. </w:t>
      </w:r>
    </w:p>
    <w:p w14:paraId="1A5FBEEB" w14:textId="77777777" w:rsidR="00A30EC1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W przypadku braku uwag we wskazanym w ust. 12 terminie, MŚP jest zobowiązany do podpisania Raportu z wizyty monitoringowej oraz przesłania skanu podpisanego Raportu do Operatora. Jest to równoznaczne z akceptacją przez MŚP ustaleń Zespołu monitoringowego i zobowiązaniem do wdrożenia ewentualnych zaleceń w określonych w Raporcie z monitoringu terminach. Zalecenia zawierają uwagi i wnioski zmierzające do usunięcia stwierdzonych uchybień lub nieprawidłowości, a także mają na celu zapobieganie wystąpienia kolejnych uchybień/nieprawidłowości w przyszłości.</w:t>
      </w:r>
    </w:p>
    <w:p w14:paraId="662C0C6B" w14:textId="77777777" w:rsidR="00A30EC1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MŚP jest zobowiązany, w terminie wyznaczonym w Raporcie z monitoringu, do wdrożenia zaleceń oraz do pisemnego poinformowania QS Zurich Sp. z o.o. o sposobie wykorzystania uwag i wniosków oraz realizacji zaleceń lub przyczynach niepodjęcia odpowiednich działań.</w:t>
      </w:r>
    </w:p>
    <w:p w14:paraId="6829A2B3" w14:textId="708CDF37" w:rsidR="006026DB" w:rsidRPr="005B610F" w:rsidRDefault="00A30EC1" w:rsidP="005B610F">
      <w:pPr>
        <w:pStyle w:val="Akapitzlist"/>
        <w:numPr>
          <w:ilvl w:val="0"/>
          <w:numId w:val="5"/>
        </w:numPr>
        <w:spacing w:line="360" w:lineRule="auto"/>
        <w:rPr>
          <w:rFonts w:ascii="Open Sans" w:hAnsi="Open Sans" w:cs="Open Sans"/>
          <w:szCs w:val="24"/>
        </w:rPr>
      </w:pPr>
      <w:r w:rsidRPr="005B610F">
        <w:rPr>
          <w:rFonts w:ascii="Open Sans" w:hAnsi="Open Sans" w:cs="Open Sans"/>
          <w:szCs w:val="24"/>
        </w:rPr>
        <w:t>W przypadku stwierdzenia wydatkowania przez MŚP środków publicznych niezgodnie z zasadami określonymi w Regulaminie, Umowie wsparcia i przepisach prawa obowiązujących w Projekcie może on zostać wezwany do zwrotu środków na zasadach określonych w Regulaminie rekrutacji i uczestnictwa w Projekcie oraz Umowie wsparcia.</w:t>
      </w:r>
    </w:p>
    <w:sectPr w:rsidR="006026DB" w:rsidRPr="005B610F" w:rsidSect="005A608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F54C" w14:textId="77777777" w:rsidR="006835FC" w:rsidRDefault="006835FC" w:rsidP="00B752A0">
      <w:r>
        <w:separator/>
      </w:r>
    </w:p>
  </w:endnote>
  <w:endnote w:type="continuationSeparator" w:id="0">
    <w:p w14:paraId="65C5DF16" w14:textId="77777777" w:rsidR="006835FC" w:rsidRDefault="006835FC" w:rsidP="00B7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04341474"/>
      <w:docPartObj>
        <w:docPartGallery w:val="Page Numbers (Bottom of Page)"/>
        <w:docPartUnique/>
      </w:docPartObj>
    </w:sdtPr>
    <w:sdtContent>
      <w:p w14:paraId="5E9B3F34" w14:textId="6B927E22" w:rsidR="008A2D73" w:rsidRDefault="008A2D73" w:rsidP="00F079A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7944803" w14:textId="77777777" w:rsidR="008A2D73" w:rsidRDefault="008A2D73" w:rsidP="008A2D7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ascii="Open Sans" w:hAnsi="Open Sans" w:cs="Open Sans"/>
      </w:rPr>
      <w:id w:val="-1108965071"/>
      <w:docPartObj>
        <w:docPartGallery w:val="Page Numbers (Bottom of Page)"/>
        <w:docPartUnique/>
      </w:docPartObj>
    </w:sdtPr>
    <w:sdtContent>
      <w:p w14:paraId="3E83795E" w14:textId="5C67EDBF" w:rsidR="008A2D73" w:rsidRPr="008A2D73" w:rsidRDefault="008A2D73" w:rsidP="00F079AD">
        <w:pPr>
          <w:pStyle w:val="Stopka"/>
          <w:framePr w:wrap="none" w:vAnchor="text" w:hAnchor="margin" w:xAlign="right" w:y="1"/>
          <w:rPr>
            <w:rStyle w:val="Numerstrony"/>
            <w:rFonts w:ascii="Open Sans" w:hAnsi="Open Sans" w:cs="Open Sans"/>
          </w:rPr>
        </w:pPr>
        <w:r w:rsidRPr="008A2D73">
          <w:rPr>
            <w:rStyle w:val="Numerstrony"/>
            <w:rFonts w:ascii="Open Sans" w:hAnsi="Open Sans" w:cs="Open Sans"/>
          </w:rPr>
          <w:t xml:space="preserve">Strona </w:t>
        </w:r>
        <w:r w:rsidRPr="008A2D73">
          <w:rPr>
            <w:rStyle w:val="Numerstrony"/>
            <w:rFonts w:ascii="Open Sans" w:hAnsi="Open Sans" w:cs="Open Sans"/>
          </w:rPr>
          <w:fldChar w:fldCharType="begin"/>
        </w:r>
        <w:r w:rsidRPr="008A2D73">
          <w:rPr>
            <w:rStyle w:val="Numerstrony"/>
            <w:rFonts w:ascii="Open Sans" w:hAnsi="Open Sans" w:cs="Open Sans"/>
          </w:rPr>
          <w:instrText xml:space="preserve"> PAGE </w:instrText>
        </w:r>
        <w:r w:rsidRPr="008A2D73">
          <w:rPr>
            <w:rStyle w:val="Numerstrony"/>
            <w:rFonts w:ascii="Open Sans" w:hAnsi="Open Sans" w:cs="Open Sans"/>
          </w:rPr>
          <w:fldChar w:fldCharType="separate"/>
        </w:r>
        <w:r w:rsidRPr="008A2D73">
          <w:rPr>
            <w:rStyle w:val="Numerstrony"/>
            <w:rFonts w:ascii="Open Sans" w:hAnsi="Open Sans" w:cs="Open Sans"/>
            <w:noProof/>
          </w:rPr>
          <w:t>3</w:t>
        </w:r>
        <w:r w:rsidRPr="008A2D73">
          <w:rPr>
            <w:rStyle w:val="Numerstrony"/>
            <w:rFonts w:ascii="Open Sans" w:hAnsi="Open Sans" w:cs="Open Sans"/>
          </w:rPr>
          <w:fldChar w:fldCharType="end"/>
        </w:r>
        <w:r w:rsidRPr="008A2D73">
          <w:rPr>
            <w:rStyle w:val="Numerstrony"/>
            <w:rFonts w:ascii="Open Sans" w:hAnsi="Open Sans" w:cs="Open Sans"/>
          </w:rPr>
          <w:t xml:space="preserve"> z 6</w:t>
        </w:r>
      </w:p>
    </w:sdtContent>
  </w:sdt>
  <w:p w14:paraId="6F9548DC" w14:textId="658E3FDC" w:rsidR="00906BA8" w:rsidRPr="008A2D73" w:rsidRDefault="00906BA8" w:rsidP="008A2D73">
    <w:pPr>
      <w:pStyle w:val="Bezodstpw"/>
      <w:ind w:right="360"/>
      <w:rPr>
        <w:rFonts w:ascii="Open Sans" w:hAnsi="Open Sans" w:cs="Open Sans"/>
        <w:bCs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803E" w14:textId="77777777" w:rsidR="005B610F" w:rsidRDefault="005B610F" w:rsidP="005B610F">
    <w:pPr>
      <w:pStyle w:val="Bezodstpw"/>
      <w:jc w:val="center"/>
      <w:rPr>
        <w:rFonts w:ascii="Open Sans" w:hAnsi="Open Sans" w:cs="Open Sans"/>
        <w:sz w:val="24"/>
        <w:szCs w:val="24"/>
      </w:rPr>
    </w:pPr>
  </w:p>
  <w:p w14:paraId="03790121" w14:textId="4A7B1B98" w:rsidR="00906BA8" w:rsidRPr="005B610F" w:rsidRDefault="008A2D73" w:rsidP="008A2D73">
    <w:pPr>
      <w:pStyle w:val="Bezodstpw"/>
      <w:jc w:val="right"/>
      <w:rPr>
        <w:rFonts w:ascii="Open Sans" w:hAnsi="Open Sans" w:cs="Open Sans"/>
        <w:bCs/>
        <w:sz w:val="24"/>
        <w:szCs w:val="24"/>
      </w:rPr>
    </w:pPr>
    <w:r>
      <w:rPr>
        <w:rFonts w:ascii="Open Sans" w:hAnsi="Open Sans" w:cs="Open Sans"/>
        <w:sz w:val="24"/>
        <w:szCs w:val="24"/>
      </w:rPr>
      <w:t>Strona 1 z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DC63" w14:textId="77777777" w:rsidR="006835FC" w:rsidRDefault="006835FC" w:rsidP="00B752A0">
      <w:r>
        <w:separator/>
      </w:r>
    </w:p>
  </w:footnote>
  <w:footnote w:type="continuationSeparator" w:id="0">
    <w:p w14:paraId="1F1CD612" w14:textId="77777777" w:rsidR="006835FC" w:rsidRDefault="006835FC" w:rsidP="00B75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C2A3" w14:textId="23DCFC10" w:rsidR="00906BA8" w:rsidRDefault="00906BA8" w:rsidP="00B752A0">
    <w:pPr>
      <w:pStyle w:val="Nagwek"/>
    </w:pPr>
    <w:r w:rsidRPr="006E5ABF">
      <w:rPr>
        <w:rFonts w:cstheme="minorHAnsi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4DCF3C14" wp14:editId="26819BED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5759450" cy="519950"/>
          <wp:effectExtent l="0" t="0" r="0" b="0"/>
          <wp:wrapNone/>
          <wp:docPr id="4" name="Obraz 4" descr="Ciąg logotypów&#10;&#10;Fundusze Europejskie dla Rozwoju Społecznego; Rzeczpospolita Polska; Dofinansowane przez Unię Eu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rozwoj_spoleczny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6FBEAF8D" w14:textId="6DE011B2" w:rsidR="00906BA8" w:rsidRDefault="00906BA8" w:rsidP="00B752A0">
    <w:pPr>
      <w:pStyle w:val="Nagwek"/>
    </w:pPr>
  </w:p>
  <w:p w14:paraId="439DE321" w14:textId="77777777" w:rsidR="00906BA8" w:rsidRDefault="00906BA8" w:rsidP="002B63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4B11" w14:textId="77777777" w:rsidR="00906BA8" w:rsidRDefault="00906BA8" w:rsidP="002B6384">
    <w:pPr>
      <w:pStyle w:val="Nagwek"/>
    </w:pPr>
    <w:r w:rsidRPr="006E5ABF">
      <w:rPr>
        <w:rFonts w:cstheme="minorHAnsi"/>
        <w:b/>
        <w:noProof/>
        <w:lang w:eastAsia="pl-PL"/>
      </w:rPr>
      <w:drawing>
        <wp:anchor distT="0" distB="0" distL="114300" distR="114300" simplePos="0" relativeHeight="251661312" behindDoc="0" locked="0" layoutInCell="1" allowOverlap="1" wp14:anchorId="689B1A07" wp14:editId="21426EA3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5759450" cy="519950"/>
          <wp:effectExtent l="0" t="0" r="0" b="0"/>
          <wp:wrapNone/>
          <wp:docPr id="1" name="Obraz 1" descr="Ciąg logotypów&#10;&#10;Fundusze Europejskie dla Rozwoju Społecznego; Rzeczpospolita Polska; Dofinansowane przez Unię Eu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rozwoj_spoleczny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1742B74D" w14:textId="77777777" w:rsidR="00906BA8" w:rsidRDefault="00906BA8" w:rsidP="002B6384">
    <w:pPr>
      <w:pStyle w:val="Nagwek"/>
    </w:pPr>
  </w:p>
  <w:p w14:paraId="757EBCA4" w14:textId="77777777" w:rsidR="00906BA8" w:rsidRDefault="00906BA8" w:rsidP="002B6384"/>
  <w:p w14:paraId="1A17DE36" w14:textId="77777777" w:rsidR="00906BA8" w:rsidRDefault="00906BA8" w:rsidP="002B6384"/>
  <w:p w14:paraId="79FFA168" w14:textId="32BDEEE4" w:rsidR="00906BA8" w:rsidRDefault="005B610F" w:rsidP="005B610F">
    <w:pPr>
      <w:rPr>
        <w:rFonts w:cstheme="minorHAnsi"/>
        <w:b/>
        <w:bCs/>
        <w:szCs w:val="24"/>
      </w:rPr>
    </w:pPr>
    <w:r>
      <w:rPr>
        <w:b/>
      </w:rPr>
      <w:t>Wersja</w:t>
    </w:r>
    <w:r w:rsidR="005C087F">
      <w:rPr>
        <w:b/>
      </w:rPr>
      <w:t xml:space="preserve"> Regulaminu nr 2</w:t>
    </w:r>
    <w:r w:rsidR="00906BA8" w:rsidRPr="002B6384">
      <w:rPr>
        <w:b/>
      </w:rPr>
      <w:t xml:space="preserve"> obowiązuje od </w:t>
    </w:r>
    <w:r w:rsidR="005C087F">
      <w:rPr>
        <w:b/>
      </w:rPr>
      <w:t>10</w:t>
    </w:r>
    <w:r w:rsidR="008E192C">
      <w:rPr>
        <w:b/>
      </w:rPr>
      <w:t>.07</w:t>
    </w:r>
    <w:r w:rsidR="00906BA8" w:rsidRPr="002B6384">
      <w:rPr>
        <w:b/>
      </w:rPr>
      <w:t xml:space="preserve">.2024 r. </w:t>
    </w:r>
    <w:r w:rsidR="00906BA8" w:rsidRPr="002B6384">
      <w:rPr>
        <w:rFonts w:cstheme="minorHAnsi"/>
        <w:b/>
        <w:bCs/>
        <w:szCs w:val="24"/>
      </w:rPr>
      <w:t>do pojawienia się kolejnej wersji</w:t>
    </w:r>
    <w:r>
      <w:rPr>
        <w:rFonts w:cstheme="minorHAnsi"/>
        <w:b/>
        <w:bCs/>
        <w:szCs w:val="24"/>
      </w:rPr>
      <w:t>.</w:t>
    </w:r>
  </w:p>
  <w:p w14:paraId="13CBF049" w14:textId="77777777" w:rsidR="005B610F" w:rsidRPr="005B610F" w:rsidRDefault="005B610F" w:rsidP="005B610F">
    <w:pPr>
      <w:rPr>
        <w:rFonts w:cstheme="minorHAnsi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92D"/>
    <w:multiLevelType w:val="hybridMultilevel"/>
    <w:tmpl w:val="505EA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0213"/>
    <w:multiLevelType w:val="hybridMultilevel"/>
    <w:tmpl w:val="8D0A4274"/>
    <w:lvl w:ilvl="0" w:tplc="6A0482A6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C7E83"/>
    <w:multiLevelType w:val="hybridMultilevel"/>
    <w:tmpl w:val="96A2624A"/>
    <w:lvl w:ilvl="0" w:tplc="04326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A67AB"/>
    <w:multiLevelType w:val="hybridMultilevel"/>
    <w:tmpl w:val="2C44AAE8"/>
    <w:lvl w:ilvl="0" w:tplc="04326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B56C1"/>
    <w:multiLevelType w:val="hybridMultilevel"/>
    <w:tmpl w:val="6AE8A0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8F053E"/>
    <w:multiLevelType w:val="hybridMultilevel"/>
    <w:tmpl w:val="2C44AAE8"/>
    <w:lvl w:ilvl="0" w:tplc="04326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E518B"/>
    <w:multiLevelType w:val="hybridMultilevel"/>
    <w:tmpl w:val="96A2624A"/>
    <w:lvl w:ilvl="0" w:tplc="04326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37FC1"/>
    <w:multiLevelType w:val="hybridMultilevel"/>
    <w:tmpl w:val="B5B2020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435906"/>
    <w:multiLevelType w:val="hybridMultilevel"/>
    <w:tmpl w:val="1E224374"/>
    <w:lvl w:ilvl="0" w:tplc="0EB82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E3EEF"/>
    <w:multiLevelType w:val="hybridMultilevel"/>
    <w:tmpl w:val="20F6D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C7235"/>
    <w:multiLevelType w:val="hybridMultilevel"/>
    <w:tmpl w:val="6CCA0AA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1" w15:restartNumberingAfterBreak="0">
    <w:nsid w:val="4038604C"/>
    <w:multiLevelType w:val="hybridMultilevel"/>
    <w:tmpl w:val="033EE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E70A7"/>
    <w:multiLevelType w:val="hybridMultilevel"/>
    <w:tmpl w:val="4D52B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314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51C34"/>
    <w:multiLevelType w:val="hybridMultilevel"/>
    <w:tmpl w:val="43384F9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CF4ED3"/>
    <w:multiLevelType w:val="hybridMultilevel"/>
    <w:tmpl w:val="96221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4292F"/>
    <w:multiLevelType w:val="hybridMultilevel"/>
    <w:tmpl w:val="553C44E6"/>
    <w:lvl w:ilvl="0" w:tplc="3C1C890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A43CAB"/>
    <w:multiLevelType w:val="hybridMultilevel"/>
    <w:tmpl w:val="40709CA6"/>
    <w:lvl w:ilvl="0" w:tplc="6A0482A6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97BDE"/>
    <w:multiLevelType w:val="hybridMultilevel"/>
    <w:tmpl w:val="401B49E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850625A"/>
    <w:multiLevelType w:val="hybridMultilevel"/>
    <w:tmpl w:val="B0FEB0A6"/>
    <w:lvl w:ilvl="0" w:tplc="CA4A0B32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F2978"/>
    <w:multiLevelType w:val="hybridMultilevel"/>
    <w:tmpl w:val="46361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1869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119545">
    <w:abstractNumId w:val="16"/>
  </w:num>
  <w:num w:numId="3" w16cid:durableId="6635663">
    <w:abstractNumId w:val="4"/>
  </w:num>
  <w:num w:numId="4" w16cid:durableId="1406340025">
    <w:abstractNumId w:val="20"/>
  </w:num>
  <w:num w:numId="5" w16cid:durableId="1447384416">
    <w:abstractNumId w:val="12"/>
  </w:num>
  <w:num w:numId="6" w16cid:durableId="570696138">
    <w:abstractNumId w:val="11"/>
  </w:num>
  <w:num w:numId="7" w16cid:durableId="1267805146">
    <w:abstractNumId w:val="9"/>
  </w:num>
  <w:num w:numId="8" w16cid:durableId="1236092113">
    <w:abstractNumId w:val="14"/>
  </w:num>
  <w:num w:numId="9" w16cid:durableId="1234656551">
    <w:abstractNumId w:val="18"/>
  </w:num>
  <w:num w:numId="10" w16cid:durableId="70472082">
    <w:abstractNumId w:val="0"/>
  </w:num>
  <w:num w:numId="11" w16cid:durableId="606035870">
    <w:abstractNumId w:val="3"/>
  </w:num>
  <w:num w:numId="12" w16cid:durableId="1094209432">
    <w:abstractNumId w:val="6"/>
  </w:num>
  <w:num w:numId="13" w16cid:durableId="1085958653">
    <w:abstractNumId w:val="8"/>
  </w:num>
  <w:num w:numId="14" w16cid:durableId="875850701">
    <w:abstractNumId w:val="5"/>
  </w:num>
  <w:num w:numId="15" w16cid:durableId="1254972366">
    <w:abstractNumId w:val="2"/>
  </w:num>
  <w:num w:numId="16" w16cid:durableId="1162085741">
    <w:abstractNumId w:val="15"/>
  </w:num>
  <w:num w:numId="17" w16cid:durableId="1213032513">
    <w:abstractNumId w:val="17"/>
  </w:num>
  <w:num w:numId="18" w16cid:durableId="1536624982">
    <w:abstractNumId w:val="1"/>
  </w:num>
  <w:num w:numId="19" w16cid:durableId="1639072822">
    <w:abstractNumId w:val="19"/>
  </w:num>
  <w:num w:numId="20" w16cid:durableId="1803184259">
    <w:abstractNumId w:val="13"/>
  </w:num>
  <w:num w:numId="21" w16cid:durableId="283580861">
    <w:abstractNumId w:val="10"/>
  </w:num>
  <w:num w:numId="22" w16cid:durableId="589505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BA1"/>
    <w:rsid w:val="00001871"/>
    <w:rsid w:val="00005475"/>
    <w:rsid w:val="000A1BB7"/>
    <w:rsid w:val="000B3A42"/>
    <w:rsid w:val="000E583B"/>
    <w:rsid w:val="0010081E"/>
    <w:rsid w:val="00165CB4"/>
    <w:rsid w:val="00166847"/>
    <w:rsid w:val="00187019"/>
    <w:rsid w:val="0019046A"/>
    <w:rsid w:val="001A5F24"/>
    <w:rsid w:val="001D2952"/>
    <w:rsid w:val="001E5F3C"/>
    <w:rsid w:val="00200B0B"/>
    <w:rsid w:val="00290BA1"/>
    <w:rsid w:val="002B6384"/>
    <w:rsid w:val="002C5DCD"/>
    <w:rsid w:val="002C5F21"/>
    <w:rsid w:val="0033532E"/>
    <w:rsid w:val="00383057"/>
    <w:rsid w:val="003C3E9C"/>
    <w:rsid w:val="003C7B39"/>
    <w:rsid w:val="003D3256"/>
    <w:rsid w:val="003F5C0F"/>
    <w:rsid w:val="00416BCB"/>
    <w:rsid w:val="004565B2"/>
    <w:rsid w:val="00456D16"/>
    <w:rsid w:val="00467B0F"/>
    <w:rsid w:val="0047292B"/>
    <w:rsid w:val="00476064"/>
    <w:rsid w:val="004E15AA"/>
    <w:rsid w:val="004F46C1"/>
    <w:rsid w:val="005972FF"/>
    <w:rsid w:val="005A6089"/>
    <w:rsid w:val="005B610F"/>
    <w:rsid w:val="005C087F"/>
    <w:rsid w:val="005F1070"/>
    <w:rsid w:val="006026DB"/>
    <w:rsid w:val="00613854"/>
    <w:rsid w:val="006268B8"/>
    <w:rsid w:val="006334A3"/>
    <w:rsid w:val="00641410"/>
    <w:rsid w:val="00645674"/>
    <w:rsid w:val="006835FC"/>
    <w:rsid w:val="006D57B9"/>
    <w:rsid w:val="006E1D2A"/>
    <w:rsid w:val="00700A7D"/>
    <w:rsid w:val="00723B36"/>
    <w:rsid w:val="00742DB8"/>
    <w:rsid w:val="00764EA5"/>
    <w:rsid w:val="007A6B2D"/>
    <w:rsid w:val="007C4EFE"/>
    <w:rsid w:val="007E4DB6"/>
    <w:rsid w:val="008054AE"/>
    <w:rsid w:val="00814A4A"/>
    <w:rsid w:val="00850B8F"/>
    <w:rsid w:val="008A2D73"/>
    <w:rsid w:val="008B47F1"/>
    <w:rsid w:val="008C4D42"/>
    <w:rsid w:val="008C6ED0"/>
    <w:rsid w:val="008D3A41"/>
    <w:rsid w:val="008E192C"/>
    <w:rsid w:val="00906BA8"/>
    <w:rsid w:val="00910E79"/>
    <w:rsid w:val="00923986"/>
    <w:rsid w:val="00952BB2"/>
    <w:rsid w:val="00962C67"/>
    <w:rsid w:val="0099370D"/>
    <w:rsid w:val="009E4F74"/>
    <w:rsid w:val="009F0B7F"/>
    <w:rsid w:val="00A14078"/>
    <w:rsid w:val="00A30EC1"/>
    <w:rsid w:val="00A86FA6"/>
    <w:rsid w:val="00A91F96"/>
    <w:rsid w:val="00B27D03"/>
    <w:rsid w:val="00B752A0"/>
    <w:rsid w:val="00B919E8"/>
    <w:rsid w:val="00B91EFE"/>
    <w:rsid w:val="00B937D0"/>
    <w:rsid w:val="00C10A67"/>
    <w:rsid w:val="00C33DF6"/>
    <w:rsid w:val="00C35609"/>
    <w:rsid w:val="00C36427"/>
    <w:rsid w:val="00C52D93"/>
    <w:rsid w:val="00C71A9D"/>
    <w:rsid w:val="00CA5151"/>
    <w:rsid w:val="00CD5571"/>
    <w:rsid w:val="00CE6EB7"/>
    <w:rsid w:val="00D11899"/>
    <w:rsid w:val="00D23F0B"/>
    <w:rsid w:val="00D65E5A"/>
    <w:rsid w:val="00D71102"/>
    <w:rsid w:val="00D82E0E"/>
    <w:rsid w:val="00D953BC"/>
    <w:rsid w:val="00DB745C"/>
    <w:rsid w:val="00DB7B54"/>
    <w:rsid w:val="00DE094D"/>
    <w:rsid w:val="00E20A0B"/>
    <w:rsid w:val="00E25A6F"/>
    <w:rsid w:val="00EF18CF"/>
    <w:rsid w:val="00F14EDD"/>
    <w:rsid w:val="00F15E55"/>
    <w:rsid w:val="00F50883"/>
    <w:rsid w:val="00F73C7F"/>
    <w:rsid w:val="00FA4937"/>
    <w:rsid w:val="00FB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42014"/>
  <w15:docId w15:val="{E3CF7B7F-FC7D-4CE5-8F2A-63F4664B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2A0"/>
    <w:pPr>
      <w:spacing w:after="0"/>
    </w:pPr>
    <w:rPr>
      <w:rFonts w:cs="Calibri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B2104"/>
    <w:pPr>
      <w:keepNext/>
      <w:spacing w:line="240" w:lineRule="auto"/>
      <w:jc w:val="center"/>
      <w:outlineLvl w:val="0"/>
    </w:pPr>
    <w:rPr>
      <w:rFonts w:eastAsia="Times New Roman" w:cstheme="minorHAnsi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2104"/>
    <w:pPr>
      <w:keepNext/>
      <w:keepLines/>
      <w:spacing w:before="40"/>
      <w:jc w:val="center"/>
      <w:outlineLvl w:val="1"/>
    </w:pPr>
    <w:rPr>
      <w:rFonts w:eastAsiaTheme="majorEastAsia" w:cstheme="minorHAnsi"/>
      <w:b/>
      <w:szCs w:val="26"/>
      <w:shd w:val="clear" w:color="auto" w:fill="FFFF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5F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F24"/>
  </w:style>
  <w:style w:type="paragraph" w:styleId="Stopka">
    <w:name w:val="footer"/>
    <w:basedOn w:val="Normalny"/>
    <w:link w:val="StopkaZnak"/>
    <w:uiPriority w:val="99"/>
    <w:unhideWhenUsed/>
    <w:rsid w:val="001A5F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F24"/>
  </w:style>
  <w:style w:type="character" w:customStyle="1" w:styleId="Nagwek1Znak">
    <w:name w:val="Nagłówek 1 Znak"/>
    <w:basedOn w:val="Domylnaczcionkaakapitu"/>
    <w:link w:val="Nagwek1"/>
    <w:uiPriority w:val="99"/>
    <w:rsid w:val="00FB2104"/>
    <w:rPr>
      <w:rFonts w:eastAsia="Times New Roman" w:cstheme="minorHAnsi"/>
      <w:b/>
      <w:bCs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081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081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0081E"/>
    <w:pPr>
      <w:tabs>
        <w:tab w:val="right" w:pos="8789"/>
      </w:tabs>
      <w:suppressAutoHyphens/>
      <w:spacing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0081E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styleId="Odwoanieprzypisukocowego">
    <w:name w:val="endnote reference"/>
    <w:uiPriority w:val="99"/>
    <w:semiHidden/>
    <w:unhideWhenUsed/>
    <w:rsid w:val="0010081E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0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06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0A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23B36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FB2104"/>
    <w:rPr>
      <w:rFonts w:eastAsiaTheme="majorEastAsia" w:cstheme="minorHAnsi"/>
      <w:b/>
      <w:sz w:val="24"/>
      <w:szCs w:val="2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B752A0"/>
    <w:pPr>
      <w:ind w:left="720"/>
      <w:contextualSpacing/>
    </w:pPr>
  </w:style>
  <w:style w:type="paragraph" w:customStyle="1" w:styleId="Default">
    <w:name w:val="Default"/>
    <w:rsid w:val="00C364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D71102"/>
    <w:rPr>
      <w:rFonts w:cs="Calibri"/>
      <w:sz w:val="24"/>
    </w:rPr>
  </w:style>
  <w:style w:type="table" w:styleId="Tabelasiatki2">
    <w:name w:val="Grid Table 2"/>
    <w:basedOn w:val="Standardowy"/>
    <w:uiPriority w:val="47"/>
    <w:rsid w:val="0064567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6456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siatki6kolorowa">
    <w:name w:val="Grid Table 6 Colorful"/>
    <w:basedOn w:val="Standardowy"/>
    <w:uiPriority w:val="51"/>
    <w:rsid w:val="003353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1EF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1EFE"/>
    <w:rPr>
      <w:rFonts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1EFE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8A2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6</Pages>
  <Words>1172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Loos</dc:creator>
  <cp:lastModifiedBy>Daria Błaszczyk</cp:lastModifiedBy>
  <cp:revision>51</cp:revision>
  <dcterms:created xsi:type="dcterms:W3CDTF">2019-04-24T07:44:00Z</dcterms:created>
  <dcterms:modified xsi:type="dcterms:W3CDTF">2025-05-14T10:53:00Z</dcterms:modified>
</cp:coreProperties>
</file>